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河北省文安县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直工委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2016年度部门决算信息公开情况说明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按照《预算法》、《河北省财政厅关于印发&lt;河北省预决算公开操作规程实施细则&gt;的通知》（冀财预[2016]129号）等规定，现将2016年度部门决算公开如下：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420"/>
        <w:jc w:val="both"/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  <w:t>一、部门职责及机构设置情况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420"/>
        <w:jc w:val="both"/>
        <w:rPr>
          <w:rFonts w:hint="eastAsia" w:ascii="方正楷体简体" w:hAnsi="方正楷体简体" w:eastAsia="方正楷体简体" w:cs="方正楷体简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333333"/>
          <w:sz w:val="28"/>
          <w:szCs w:val="28"/>
          <w:shd w:val="clear" w:color="auto" w:fill="FFFFFF"/>
        </w:rPr>
        <w:t>部门职责：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结合县直机关党建工作实际，贯彻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党的路线、方针、政策和县委的指示、决议；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按照县委的要求，围绕经济建设中心，制定县直机关党的建设规划，并督促检查落实。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指导县直基层党组织抓好党的思想、组织、作风建设和制度建设，做好党员管理教育工作，为经济建设提供思想、政治和组织保证；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按照党章和基层党组织选举工作暂行条例规定，负责审批县直机关党组织设置和党务干部；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指导县直基层党组织实施对党员特别是党员领导干部的监督，监督党员领导干部过好双重组织生活；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按照党章规定，做好新党员的发展工作，按照有关规定审议审批县级党员干部的违纪案件；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领导县直机关纪工委的工作；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必要时组织召开县直机关党的代表会议；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领导县直人民武装工作；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建立机关工委与县直各部门党组联席会议制度，交流工作情况，研究和改进机关党建工作；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执行县委交办的其它任务。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554" w:firstLineChars="198"/>
        <w:jc w:val="left"/>
        <w:rPr>
          <w:rFonts w:hint="eastAsia" w:ascii="楷体_GB2312" w:hAnsi="Arial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333333"/>
          <w:sz w:val="28"/>
          <w:szCs w:val="28"/>
          <w:shd w:val="clear" w:color="auto" w:fill="FFFFFF"/>
        </w:rPr>
        <w:t>机构设置</w:t>
      </w:r>
      <w:r>
        <w:rPr>
          <w:rFonts w:hint="eastAsia" w:ascii="黑体" w:hAnsi="黑体" w:eastAsia="黑体" w:cs="黑体"/>
          <w:kern w:val="2"/>
          <w:sz w:val="28"/>
          <w:szCs w:val="28"/>
          <w:lang w:bidi="ar-SA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bidi="ar-SA"/>
        </w:rPr>
        <w:t>文安县</w:t>
      </w: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eastAsia="zh-CN" w:bidi="ar-SA"/>
        </w:rPr>
        <w:t>县直工委</w:t>
      </w: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bidi="ar-SA"/>
        </w:rPr>
        <w:t>部门机构设置情况</w:t>
      </w:r>
    </w:p>
    <w:tbl>
      <w:tblPr>
        <w:tblStyle w:val="5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803"/>
        <w:gridCol w:w="180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单位名称</w:t>
            </w:r>
          </w:p>
        </w:tc>
        <w:tc>
          <w:tcPr>
            <w:tcW w:w="180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单位性质</w:t>
            </w:r>
          </w:p>
        </w:tc>
        <w:tc>
          <w:tcPr>
            <w:tcW w:w="18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单位规格</w:t>
            </w:r>
          </w:p>
        </w:tc>
        <w:tc>
          <w:tcPr>
            <w:tcW w:w="233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经费保障形式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  <w:t>县直工委</w:t>
            </w:r>
          </w:p>
        </w:tc>
        <w:tc>
          <w:tcPr>
            <w:tcW w:w="180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  <w:t>行政</w:t>
            </w:r>
          </w:p>
        </w:tc>
        <w:tc>
          <w:tcPr>
            <w:tcW w:w="18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  <w:t>正科级</w:t>
            </w:r>
          </w:p>
        </w:tc>
        <w:tc>
          <w:tcPr>
            <w:tcW w:w="233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  <w:t>财政拨款</w:t>
            </w:r>
          </w:p>
        </w:tc>
      </w:tr>
    </w:tbl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二、部门决算报表（附表）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三、2016年度部门决算情况说明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（一）收入支出决算总体情况说明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2016年文安县直工委收入为85.99万元，较15年收入增加4.07万元。增加原因：主要因为工资上调导致人员经费增加；其中：上年结转结余0，财政拨款收入85.99万元（其中：政府性基金收入0万元），较15年收入增加4.07万元。增加原因：主要因为工资上调导致人员经费增加；经营收入0万元，事业收入0万元，上级补助收入0万元，其他收入0万元。财政拨款支出85.99万元。较年初预算数增加12.68万元，增加原因：主要因为工资上调导致人员经费增加；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（二）收入决算情况说明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2016年度收入决算为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万元，全部为财政拨款收入。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（三）支出决算情况说明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2016年度支出决算为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万元，全部为财政拨款支出。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（四）财政拨款收入支出决算总体情况说明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2016年度财政拨款收入决算为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万元，其中：财政拨款收入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万元，上年结转结余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，财政拨款支出决算为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万元，全部为一般公共预算财政拨款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,较年初预算数增加12.68万元，增加原因：主要因为工资上调导致人员经费增加。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其中：基本支出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85.99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万元，包括：人员经费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81.10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万元和日常公用经费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4.89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万元；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（五）“三公”经费情况及增减变化原因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2016年度部门“三公”经费支出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。与年初预算数持平，与上年决算数持平。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（六）机关运行经费支出情况的说明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2016年度部门机关运行经费支出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4.89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万元，比2015年度增加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1.64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万元，原因是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2016年度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办公用品和日常维修费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，造成机关运行经费支出有所增加。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633" w:firstLineChars="198"/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（七）绩效预算信息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554" w:firstLineChars="198"/>
        <w:rPr>
          <w:rFonts w:hint="eastAsia" w:ascii="楷体_GB2312" w:hAnsi="Arial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333333"/>
          <w:sz w:val="28"/>
          <w:szCs w:val="28"/>
          <w:shd w:val="clear" w:color="auto" w:fill="FFFFFF"/>
        </w:rPr>
        <w:t>部门职责及工作活动绩效目标指标</w:t>
      </w:r>
      <w:r>
        <w:rPr>
          <w:rFonts w:hint="eastAsia" w:ascii="楷体_GB2312" w:hAnsi="Arial" w:eastAsia="楷体_GB2312" w:cs="仿宋_GB2312"/>
          <w:b/>
          <w:color w:val="333333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仿宋_GB2312" w:hAnsi="宋体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color w:val="333333"/>
          <w:sz w:val="32"/>
          <w:szCs w:val="32"/>
          <w:shd w:val="clear" w:color="auto" w:fill="FFFFFF"/>
        </w:rPr>
        <w:t>部门职责-工作活动绩效目标</w:t>
      </w:r>
    </w:p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ind w:firstLine="415" w:firstLineChars="198"/>
        <w:rPr>
          <w:rFonts w:hint="eastAsia" w:ascii="方正仿宋简体" w:hAnsi="宋体" w:eastAsia="方正仿宋简体" w:cs="仿宋_GB2312"/>
          <w:b/>
          <w:color w:val="333333"/>
          <w:sz w:val="21"/>
          <w:szCs w:val="21"/>
          <w:shd w:val="clear" w:color="auto" w:fill="FFFFFF"/>
        </w:rPr>
      </w:pPr>
      <w:r>
        <w:rPr>
          <w:rFonts w:hint="eastAsia" w:ascii="方正仿宋简体" w:hAnsi="宋体" w:eastAsia="方正仿宋简体" w:cs="仿宋_GB2312"/>
          <w:b/>
          <w:color w:val="333333"/>
          <w:sz w:val="21"/>
          <w:szCs w:val="21"/>
          <w:shd w:val="clear" w:color="auto" w:fill="FFFFFF"/>
        </w:rPr>
        <w:t>河北省文安县</w:t>
      </w:r>
      <w:r>
        <w:rPr>
          <w:rFonts w:hint="eastAsia" w:ascii="方正仿宋简体" w:hAnsi="宋体" w:eastAsia="方正仿宋简体" w:cs="仿宋_GB2312"/>
          <w:b/>
          <w:color w:val="333333"/>
          <w:sz w:val="21"/>
          <w:szCs w:val="21"/>
          <w:shd w:val="clear" w:color="auto" w:fill="FFFFFF"/>
          <w:lang w:eastAsia="zh-CN"/>
        </w:rPr>
        <w:t>县直工委</w:t>
      </w:r>
      <w:r>
        <w:rPr>
          <w:rFonts w:hint="eastAsia" w:ascii="方正仿宋简体" w:hAnsi="宋体" w:eastAsia="方正仿宋简体" w:cs="仿宋_GB2312"/>
          <w:b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单位：万元</w:t>
      </w:r>
    </w:p>
    <w:tbl>
      <w:tblPr>
        <w:tblStyle w:val="5"/>
        <w:tblW w:w="14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6"/>
        <w:gridCol w:w="3564"/>
        <w:gridCol w:w="3960"/>
        <w:gridCol w:w="2340"/>
        <w:gridCol w:w="566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职责活动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年度预算数</w:t>
            </w:r>
          </w:p>
        </w:tc>
        <w:tc>
          <w:tcPr>
            <w:tcW w:w="3564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内容描述</w:t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绩效目标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绩效指标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3564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优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良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中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333333"/>
                <w:sz w:val="21"/>
                <w:szCs w:val="21"/>
                <w:shd w:val="clear" w:color="auto" w:fill="FFFFFF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县直机关党的建设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指导县直基层党组织抓好党思想、组织、作风建设和制度建设，做好党员管理教育工作，为经济建设提供思想、政治和组织保证。</w:t>
            </w:r>
          </w:p>
        </w:tc>
        <w:tc>
          <w:tcPr>
            <w:tcW w:w="396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政治觉悟和思想道德素质明显提高；党组织战斗堡垒作用和党员先锋模范作用进一步增强；党建工作得到有效落实。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思想政治建设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指导县直机关党组织用马克思主义中国化的最新理论成果，教育县直机关党员干部树立正确的世界观、人生观和价值观；指导县直机关党组织加强学习型党组织建设。对党员、发展对象和入党积极分子开展宣传教育，做好党员管理教育工作。</w:t>
            </w:r>
          </w:p>
        </w:tc>
        <w:tc>
          <w:tcPr>
            <w:tcW w:w="396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2016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利用各种形式对党员、发展对象及入党积极分子开展宣传教育，做好党员管理教育工作，使党员的党性修养进一步增强；发展对象对党的认识更加深刻；入党积极分子对党的认识更加全面。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</w:pPr>
            <w:r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　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组织建设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指导县直机关认真落实</w:t>
            </w:r>
            <w:r>
              <w:rPr>
                <w:rFonts w:hint="eastAsia" w:ascii="仿宋" w:hAnsi="仿宋" w:eastAsia="仿宋" w:cs="仿宋"/>
                <w:lang w:eastAsia="zh-CN"/>
              </w:rPr>
              <w:t>《中国共产党章程》</w:t>
            </w:r>
            <w:r>
              <w:rPr>
                <w:rFonts w:hint="eastAsia" w:ascii="仿宋" w:hAnsi="仿宋" w:eastAsia="仿宋" w:cs="仿宋"/>
              </w:rPr>
              <w:t>，加强基层党组织建设，严格组织生活制度，丰富党建活动内容，做好党员发展、教育、管理、服务和党务干部的教育培训工作，充分发挥党组织的战斗堡垒作用和党员的先锋模范作用。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党组织、党员作用发挥突出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</w:pPr>
            <w:r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县直机关人民武装工作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领导县直人民武装工作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县直干部职工国防观念和民兵战斗力进一步增强。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县直机关人民武装工作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</w:pPr>
            <w:r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征兵工作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开展夏秋季征兵工作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把优秀有志青年选入军营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国防教育和专武干部队伍、民兵组织建设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56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教育引导县直干部职工学习国防知识，增强国防理念，支持国防建设，加强专武干部、国防教育宣传员培训和民兵组织建设，提高工作能力和民兵组织战斗力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组织健全，工作落实。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仿宋_GB2312"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方正仿宋简体" w:hAnsi="宋体" w:eastAsia="方正仿宋简体" w:cs="仿宋_GB2312"/>
                <w:b/>
                <w:color w:val="333333"/>
                <w:szCs w:val="24"/>
                <w:shd w:val="clear" w:color="auto" w:fill="FFFFFF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05" w:lineRule="atLeast"/>
        <w:rPr>
          <w:rFonts w:ascii="方正黑体简体" w:hAnsi="Arial" w:eastAsia="方正黑体简体" w:cs="仿宋_GB2312"/>
          <w:color w:val="333333"/>
          <w:sz w:val="30"/>
          <w:szCs w:val="30"/>
          <w:shd w:val="clear" w:color="auto" w:fill="FFFFFF"/>
        </w:rPr>
        <w:sectPr>
          <w:pgSz w:w="16838" w:h="11906" w:orient="landscape"/>
          <w:pgMar w:top="567" w:right="1134" w:bottom="567" w:left="1134" w:header="851" w:footer="992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leftChars="0" w:right="0" w:rightChars="0"/>
        <w:jc w:val="left"/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  <w:t>（八）无政府采购。</w:t>
      </w:r>
    </w:p>
    <w:p>
      <w:pPr>
        <w:autoSpaceDE w:val="0"/>
        <w:autoSpaceDN w:val="0"/>
        <w:adjustRightInd w:val="0"/>
        <w:spacing w:line="584" w:lineRule="atLeast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（九）国有资产信息</w:t>
      </w:r>
    </w:p>
    <w:p>
      <w:pPr>
        <w:autoSpaceDE w:val="0"/>
        <w:autoSpaceDN w:val="0"/>
        <w:adjustRightInd w:val="0"/>
        <w:spacing w:line="584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 截至2016年12月31日，本部门共有车辆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辆，为一般公务用车；无单位价值50万元以上大型设备，无单位价值100万元以上大型设备。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leftChars="0" w:right="0" w:rightChars="0"/>
        <w:jc w:val="left"/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  <w:t>无其他重要事项情况说明。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484747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747"/>
          <w:spacing w:val="0"/>
          <w:kern w:val="0"/>
          <w:sz w:val="32"/>
          <w:szCs w:val="32"/>
          <w:shd w:val="clear" w:fill="FFFFFF"/>
          <w:lang w:val="en-US" w:eastAsia="zh-CN" w:bidi="ar"/>
        </w:rPr>
        <w:t>无其他重要事项情况说明。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第四部分</w:t>
      </w:r>
      <w:r>
        <w:rPr>
          <w:rFonts w:ascii="黑体" w:hAnsi="黑体" w:eastAsia="黑体" w:cs="黑体"/>
          <w:b/>
          <w:color w:val="000000"/>
          <w:kern w:val="0"/>
          <w:sz w:val="32"/>
          <w:szCs w:val="32"/>
        </w:rPr>
        <w:t>、名词解释</w:t>
      </w:r>
    </w:p>
    <w:p>
      <w:pPr>
        <w:pStyle w:val="7"/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、一般公共预算拨款收入：指县级财政当年拨付的资金。</w:t>
      </w:r>
    </w:p>
    <w:p>
      <w:pPr>
        <w:pStyle w:val="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 xml:space="preserve">    2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、基本支出：</w:t>
      </w:r>
      <w:r>
        <w:rPr>
          <w:rFonts w:hint="eastAsia" w:ascii="仿宋_GB2312" w:eastAsia="仿宋_GB2312"/>
          <w:color w:val="auto"/>
          <w:sz w:val="32"/>
          <w:szCs w:val="32"/>
        </w:rPr>
        <w:t>指为保障机构正常运转、完成日常工作任务而发生的人员支出和公用支出。</w:t>
      </w:r>
    </w:p>
    <w:p>
      <w:pPr>
        <w:pStyle w:val="7"/>
        <w:ind w:firstLine="643" w:firstLineChars="200"/>
        <w:rPr>
          <w:rFonts w:ascii="仿宋_GB2312" w:hAnsi="FZFangSong-Z02" w:eastAsia="仿宋_GB2312" w:cs="FZFangSong-Z0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“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三公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经费：纳入县级财政预算管理的</w:t>
      </w:r>
      <w:r>
        <w:rPr>
          <w:rFonts w:hint="eastAsia" w:asci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三公</w:t>
      </w:r>
      <w:r>
        <w:rPr>
          <w:rFonts w:hint="eastAsia" w:asci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经费，是指县级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rPr>
          <w:rFonts w:ascii="仿宋_GB2312" w:hAnsi="FZFangSong-Z02" w:eastAsia="仿宋_GB2312" w:cs="FZFangSong-Z0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FZFangSong-Z02" w:eastAsia="仿宋_GB2312" w:cs="FZFangSong-Z02"/>
          <w:sz w:val="32"/>
          <w:szCs w:val="32"/>
        </w:rPr>
        <w:t>、机关运行费：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</w:t>
      </w:r>
      <w:r>
        <w:rPr>
          <w:rFonts w:hint="eastAsia" w:ascii="仿宋_GB2312" w:eastAsia="仿宋_GB2312"/>
          <w:sz w:val="32"/>
          <w:szCs w:val="32"/>
        </w:rPr>
        <w:t>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wOFPHUAAAAAgEAAA8AAAAAAAAAAQAgAAAAIgAAAGRycy9kb3ducmV2LnhtbFBLAQIUABQA&#10;AAAIAIdO4kBIBarLuwEAAFIDAAAOAAAAAAAAAAEAIAAAACM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4E60"/>
    <w:multiLevelType w:val="singleLevel"/>
    <w:tmpl w:val="59F44E60"/>
    <w:lvl w:ilvl="0" w:tentative="0">
      <w:start w:val="10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D6D4D"/>
    <w:rsid w:val="00C14399"/>
    <w:rsid w:val="038B1751"/>
    <w:rsid w:val="15727896"/>
    <w:rsid w:val="164975DC"/>
    <w:rsid w:val="1A611458"/>
    <w:rsid w:val="2A0238DD"/>
    <w:rsid w:val="2B207453"/>
    <w:rsid w:val="2EC92248"/>
    <w:rsid w:val="31EE7554"/>
    <w:rsid w:val="36D34DC1"/>
    <w:rsid w:val="39DD1410"/>
    <w:rsid w:val="3D2D6D4D"/>
    <w:rsid w:val="3EEA6C65"/>
    <w:rsid w:val="4B764D08"/>
    <w:rsid w:val="4E0371FC"/>
    <w:rsid w:val="51ED69FD"/>
    <w:rsid w:val="5CB2239C"/>
    <w:rsid w:val="5F4A10D8"/>
    <w:rsid w:val="66432BAF"/>
    <w:rsid w:val="696A0D64"/>
    <w:rsid w:val="706160D9"/>
    <w:rsid w:val="736938A2"/>
    <w:rsid w:val="78045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2017-10-28T08:25:00Z</dcterms:created>
  <dc:creator>Administrator</dc:creator>
  <cp:lastModifiedBy>小薇</cp:lastModifiedBy>
  <dcterms:modified xsi:type="dcterms:W3CDTF">2023-07-25T08:47:34Z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